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218" w:lineRule="auto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44"/>
        </w:rPr>
        <w:t xml:space="preserve">Lanthanum doped hafnium oxide: a robust </w:t>
      </w:r>
    </w:p>
    <w:p>
      <w:pPr>
        <w:autoSpaceDN w:val="0"/>
        <w:autoSpaceDE w:val="0"/>
        <w:widowControl/>
        <w:spacing w:line="218" w:lineRule="auto" w:before="528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44"/>
        </w:rPr>
        <w:t xml:space="preserve">ferroelectric material </w:t>
      </w:r>
    </w:p>
    <w:p>
      <w:pPr>
        <w:autoSpaceDN w:val="0"/>
        <w:autoSpaceDE w:val="0"/>
        <w:widowControl/>
        <w:spacing w:line="386" w:lineRule="auto" w:before="714" w:after="0"/>
        <w:ind w:left="0" w:right="288" w:firstLine="0"/>
        <w:jc w:val="left"/>
      </w:pPr>
      <w:r>
        <w:rPr>
          <w:rFonts w:ascii="" w:hAnsi="" w:eastAsia=""/>
          <w:b w:val="0"/>
          <w:i/>
          <w:color w:val="000000"/>
          <w:sz w:val="24"/>
        </w:rPr>
        <w:t>Uwe Schroeder</w:t>
      </w:r>
      <w:r>
        <w:rPr>
          <w:rFonts w:ascii="" w:hAnsi="" w:eastAsia=""/>
          <w:b w:val="0"/>
          <w:i/>
          <w:color w:val="000000"/>
          <w:sz w:val="16"/>
        </w:rPr>
        <w:t>1,*</w:t>
      </w:r>
      <w:r>
        <w:rPr>
          <w:rFonts w:ascii="" w:hAnsi="" w:eastAsia=""/>
          <w:b w:val="0"/>
          <w:i/>
          <w:color w:val="000000"/>
          <w:sz w:val="24"/>
        </w:rPr>
        <w:t>, Claudia Richter</w:t>
      </w: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/>
          <w:color w:val="000000"/>
          <w:sz w:val="24"/>
        </w:rPr>
        <w:t>, Min Hyuk Park</w:t>
      </w: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/>
          <w:color w:val="000000"/>
          <w:sz w:val="24"/>
        </w:rPr>
        <w:t>, Tony Schenk</w:t>
      </w: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/>
          <w:color w:val="000000"/>
          <w:sz w:val="24"/>
        </w:rPr>
        <w:t>, Milan Pešić</w:t>
      </w: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/>
          <w:color w:val="000000"/>
          <w:sz w:val="24"/>
        </w:rPr>
        <w:t xml:space="preserve">, Michael </w:t>
      </w:r>
      <w:r>
        <w:rPr>
          <w:rFonts w:ascii="" w:hAnsi="" w:eastAsia=""/>
          <w:b w:val="0"/>
          <w:i/>
          <w:color w:val="000000"/>
          <w:sz w:val="24"/>
        </w:rPr>
        <w:t>Hoffmann</w:t>
      </w: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/>
          <w:color w:val="000000"/>
          <w:sz w:val="24"/>
        </w:rPr>
        <w:t>, Franz P. G. Fengler</w:t>
      </w: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/>
          <w:color w:val="000000"/>
          <w:sz w:val="24"/>
        </w:rPr>
        <w:t>, Darius Pohl</w:t>
      </w:r>
      <w:r>
        <w:rPr>
          <w:rFonts w:ascii="" w:hAnsi="" w:eastAsia=""/>
          <w:b w:val="0"/>
          <w:i/>
          <w:color w:val="000000"/>
          <w:sz w:val="16"/>
        </w:rPr>
        <w:t>2</w:t>
      </w:r>
      <w:r>
        <w:rPr>
          <w:rFonts w:ascii="" w:hAnsi="" w:eastAsia=""/>
          <w:b w:val="0"/>
          <w:i/>
          <w:color w:val="000000"/>
          <w:sz w:val="24"/>
        </w:rPr>
        <w:t>, Bernd Rellinghaus</w:t>
      </w:r>
      <w:r>
        <w:rPr>
          <w:rFonts w:ascii="" w:hAnsi="" w:eastAsia=""/>
          <w:b w:val="0"/>
          <w:i/>
          <w:color w:val="000000"/>
          <w:sz w:val="16"/>
        </w:rPr>
        <w:t>2</w:t>
      </w:r>
      <w:r>
        <w:rPr>
          <w:rFonts w:ascii="" w:hAnsi="" w:eastAsia=""/>
          <w:b w:val="0"/>
          <w:i/>
          <w:color w:val="000000"/>
          <w:sz w:val="24"/>
        </w:rPr>
        <w:t>, Chuanzhen Zhou</w:t>
      </w:r>
      <w:r>
        <w:rPr>
          <w:rFonts w:ascii="" w:hAnsi="" w:eastAsia=""/>
          <w:b w:val="0"/>
          <w:i/>
          <w:color w:val="000000"/>
          <w:sz w:val="16"/>
        </w:rPr>
        <w:t>3</w:t>
      </w:r>
      <w:r>
        <w:rPr>
          <w:rFonts w:ascii="" w:hAnsi="" w:eastAsia=""/>
          <w:b w:val="0"/>
          <w:i/>
          <w:color w:val="000000"/>
          <w:sz w:val="24"/>
        </w:rPr>
        <w:t>, Ching-</w:t>
      </w:r>
      <w:r>
        <w:rPr>
          <w:rFonts w:ascii="" w:hAnsi="" w:eastAsia=""/>
          <w:b w:val="0"/>
          <w:i/>
          <w:color w:val="000000"/>
          <w:sz w:val="24"/>
        </w:rPr>
        <w:t>Chang Chung</w:t>
      </w:r>
      <w:r>
        <w:rPr>
          <w:rFonts w:ascii="" w:hAnsi="" w:eastAsia=""/>
          <w:b w:val="0"/>
          <w:i/>
          <w:color w:val="000000"/>
          <w:sz w:val="16"/>
        </w:rPr>
        <w:t>3</w:t>
      </w:r>
      <w:r>
        <w:rPr>
          <w:rFonts w:ascii="" w:hAnsi="" w:eastAsia=""/>
          <w:b w:val="0"/>
          <w:i/>
          <w:color w:val="000000"/>
          <w:sz w:val="24"/>
        </w:rPr>
        <w:t>, Jacob L. Jones</w:t>
      </w:r>
      <w:r>
        <w:rPr>
          <w:rFonts w:ascii="" w:hAnsi="" w:eastAsia=""/>
          <w:b w:val="0"/>
          <w:i/>
          <w:color w:val="000000"/>
          <w:sz w:val="16"/>
        </w:rPr>
        <w:t>3</w:t>
      </w:r>
      <w:r>
        <w:rPr>
          <w:rFonts w:ascii="" w:hAnsi="" w:eastAsia=""/>
          <w:b w:val="0"/>
          <w:i/>
          <w:color w:val="000000"/>
          <w:sz w:val="24"/>
        </w:rPr>
        <w:t>, and Thomas Mikolajick</w:t>
      </w:r>
      <w:r>
        <w:rPr>
          <w:rFonts w:ascii="" w:hAnsi="" w:eastAsia=""/>
          <w:b w:val="0"/>
          <w:i/>
          <w:color w:val="000000"/>
          <w:sz w:val="16"/>
        </w:rPr>
        <w:t>1,4</w:t>
      </w:r>
    </w:p>
    <w:p>
      <w:pPr>
        <w:autoSpaceDN w:val="0"/>
        <w:autoSpaceDE w:val="0"/>
        <w:widowControl/>
        <w:spacing w:line="425" w:lineRule="auto" w:before="486" w:after="0"/>
        <w:ind w:left="0" w:right="144" w:firstLine="0"/>
        <w:jc w:val="left"/>
      </w:pPr>
      <w:r>
        <w:rPr>
          <w:rFonts w:ascii="" w:hAnsi="" w:eastAsia=""/>
          <w:b w:val="0"/>
          <w:i/>
          <w:color w:val="000000"/>
          <w:sz w:val="16"/>
        </w:rPr>
        <w:t>1</w:t>
      </w:r>
      <w:r>
        <w:rPr>
          <w:rFonts w:ascii="" w:hAnsi="" w:eastAsia=""/>
          <w:b w:val="0"/>
          <w:i w:val="0"/>
          <w:color w:val="000000"/>
          <w:sz w:val="24"/>
        </w:rPr>
        <w:t xml:space="preserve">NaMLab gGmbH, Noethnitzer Straße 64, 01187 Dresden, Germany </w:t>
      </w:r>
      <w:r>
        <w:br/>
      </w:r>
      <w:r>
        <w:rPr>
          <w:rFonts w:ascii="" w:hAnsi="" w:eastAsia=""/>
          <w:b w:val="0"/>
          <w:i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IFW Dresden, Helmholtz Straße, Dresden, Germany </w:t>
      </w:r>
      <w:r>
        <w:br/>
      </w:r>
      <w:r>
        <w:rPr>
          <w:rFonts w:ascii="" w:hAnsi="" w:eastAsia=""/>
          <w:b w:val="0"/>
          <w:i/>
          <w:color w:val="000000"/>
          <w:sz w:val="16"/>
        </w:rPr>
        <w:t>3</w:t>
      </w:r>
      <w:r>
        <w:rPr>
          <w:rFonts w:ascii="" w:hAnsi="" w:eastAsia=""/>
          <w:b w:val="0"/>
          <w:i w:val="0"/>
          <w:color w:val="000000"/>
          <w:sz w:val="24"/>
        </w:rPr>
        <w:t xml:space="preserve">Department of Materials Science and Engineering, North Carolina State University, Raleigh, </w:t>
      </w:r>
      <w:r>
        <w:rPr>
          <w:rFonts w:ascii="" w:hAnsi="" w:eastAsia=""/>
          <w:b w:val="0"/>
          <w:i w:val="0"/>
          <w:color w:val="000000"/>
          <w:sz w:val="24"/>
        </w:rPr>
        <w:t xml:space="preserve">North Carolina 27695-7907, USA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Analytical Instrumentation Facility, College of Engineering at North Carolina State University, </w:t>
      </w:r>
      <w:r>
        <w:rPr>
          <w:rFonts w:ascii="" w:hAnsi="" w:eastAsia=""/>
          <w:b w:val="0"/>
          <w:i w:val="0"/>
          <w:color w:val="000000"/>
          <w:sz w:val="24"/>
        </w:rPr>
        <w:t xml:space="preserve">Raleigh, North Carolina 27695 -7531, USA </w:t>
      </w:r>
      <w:r>
        <w:br/>
      </w:r>
      <w:r>
        <w:rPr>
          <w:rFonts w:ascii="" w:hAnsi="" w:eastAsia=""/>
          <w:b w:val="0"/>
          <w:i/>
          <w:color w:val="000000"/>
          <w:sz w:val="16"/>
        </w:rPr>
        <w:t>4</w:t>
      </w:r>
      <w:r>
        <w:rPr>
          <w:rFonts w:ascii="" w:hAnsi="" w:eastAsia=""/>
          <w:b w:val="0"/>
          <w:i w:val="0"/>
          <w:color w:val="000000"/>
          <w:sz w:val="24"/>
        </w:rPr>
        <w:t xml:space="preserve">Chair of Nanoelectronic Materials, TU Dresden, 01062 Dresden, Germany </w:t>
      </w:r>
    </w:p>
    <w:p>
      <w:pPr>
        <w:autoSpaceDN w:val="0"/>
        <w:tabs>
          <w:tab w:pos="202" w:val="left"/>
        </w:tabs>
        <w:autoSpaceDE w:val="0"/>
        <w:widowControl/>
        <w:spacing w:line="422" w:lineRule="auto" w:before="796" w:after="0"/>
        <w:ind w:left="0" w:right="0" w:firstLine="0"/>
        <w:jc w:val="left"/>
      </w:pPr>
      <w:r>
        <w:tab/>
      </w:r>
      <w:r>
        <w:rPr>
          <w:rFonts w:ascii="" w:hAnsi="" w:eastAsia=""/>
          <w:b/>
          <w:i w:val="0"/>
          <w:color w:val="000000"/>
          <w:sz w:val="24"/>
        </w:rPr>
        <w:t xml:space="preserve">Supplementary Information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>The structure of a 10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sample is characterized at different annealing temperatures. </w:t>
      </w:r>
      <w:r>
        <w:rPr>
          <w:rFonts w:ascii="" w:hAnsi="" w:eastAsia=""/>
          <w:b w:val="0"/>
          <w:i w:val="0"/>
          <w:color w:val="000000"/>
          <w:sz w:val="24"/>
        </w:rPr>
        <w:t>Figure SI 1 shows the temperature dependence of XRD patterns of the 10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sample </w:t>
      </w:r>
      <w:r>
        <w:rPr>
          <w:rFonts w:ascii="" w:hAnsi="" w:eastAsia=""/>
          <w:b w:val="0"/>
          <w:i w:val="0"/>
          <w:color w:val="000000"/>
          <w:sz w:val="24"/>
        </w:rPr>
        <w:t>in a temperature range of 25 to 900 °C. XRD data shows that the 10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sample </w:t>
      </w:r>
      <w:r>
        <w:rPr>
          <w:rFonts w:ascii="" w:hAnsi="" w:eastAsia=""/>
          <w:b w:val="0"/>
          <w:i w:val="0"/>
          <w:color w:val="000000"/>
          <w:sz w:val="24"/>
        </w:rPr>
        <w:t xml:space="preserve">exhibits an orthorhombic/tetragonal/cubic phase in a temperature range between 25 – 700 °C and </w:t>
      </w:r>
      <w:r>
        <w:rPr>
          <w:rFonts w:ascii="" w:hAnsi="" w:eastAsia=""/>
          <w:b w:val="0"/>
          <w:i w:val="0"/>
          <w:color w:val="000000"/>
          <w:sz w:val="24"/>
        </w:rPr>
        <w:t xml:space="preserve">an increase of the monoclinic intensity for temperatures &gt;700°C during a slow temperature ramp </w:t>
      </w:r>
      <w:r>
        <w:rPr>
          <w:rFonts w:ascii="" w:hAnsi="" w:eastAsia=""/>
          <w:b w:val="0"/>
          <w:i w:val="0"/>
          <w:color w:val="000000"/>
          <w:sz w:val="24"/>
        </w:rPr>
        <w:t xml:space="preserve">of 0.2 °C /s. The according TOFSIMS results before and after the slow temperature ramp in the </w:t>
      </w:r>
      <w:r>
        <w:rPr>
          <w:rFonts w:ascii="" w:hAnsi="" w:eastAsia=""/>
          <w:b w:val="0"/>
          <w:i w:val="0"/>
          <w:color w:val="000000"/>
          <w:sz w:val="24"/>
        </w:rPr>
        <w:t xml:space="preserve">XRD tool is shown in Figure SI 5 ( a) before and b) after XRD measurement). In Figure SI 2 the </w:t>
      </w:r>
    </w:p>
    <w:p>
      <w:pPr>
        <w:autoSpaceDN w:val="0"/>
        <w:autoSpaceDE w:val="0"/>
        <w:widowControl/>
        <w:spacing w:line="197" w:lineRule="auto" w:before="556" w:after="0"/>
        <w:ind w:left="0" w:right="30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S1 </w:t>
      </w:r>
    </w:p>
    <w:p>
      <w:pPr>
        <w:sectPr>
          <w:pgSz w:w="12240" w:h="15840"/>
          <w:pgMar w:top="716" w:right="1338" w:bottom="492" w:left="1416" w:header="720" w:footer="720" w:gutter="0"/>
          <w:cols w:space="720" w:num="1" w:equalWidth="0"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autoSpaceDE w:val="0"/>
        <w:widowControl/>
        <w:spacing w:line="413" w:lineRule="auto" w:before="0" w:after="280"/>
        <w:ind w:left="0" w:right="356" w:firstLine="0"/>
        <w:jc w:val="both"/>
      </w:pPr>
      <w:r>
        <w:rPr>
          <w:rFonts w:ascii="" w:hAnsi="" w:eastAsia=""/>
          <w:b w:val="0"/>
          <w:i w:val="0"/>
          <w:color w:val="000000"/>
          <w:sz w:val="24"/>
        </w:rPr>
        <w:t>change of the coercive field E</w:t>
      </w:r>
      <w:r>
        <w:rPr>
          <w:rFonts w:ascii="" w:hAnsi="" w:eastAsia=""/>
          <w:b w:val="0"/>
          <w:i w:val="0"/>
          <w:color w:val="000000"/>
          <w:sz w:val="16"/>
        </w:rPr>
        <w:t>c</w:t>
      </w:r>
      <w:r>
        <w:rPr>
          <w:rFonts w:ascii="" w:hAnsi="" w:eastAsia=""/>
          <w:b w:val="0"/>
          <w:i w:val="0"/>
          <w:color w:val="000000"/>
          <w:sz w:val="24"/>
        </w:rPr>
        <w:t xml:space="preserve"> and wake-up behavior is plotted for different annealing </w:t>
      </w:r>
      <w:r>
        <w:rPr>
          <w:rFonts w:ascii="" w:hAnsi="" w:eastAsia=""/>
          <w:b w:val="0"/>
          <w:i w:val="0"/>
          <w:color w:val="000000"/>
          <w:sz w:val="24"/>
        </w:rPr>
        <w:t>temperatures. E</w:t>
      </w:r>
      <w:r>
        <w:rPr>
          <w:rFonts w:ascii="" w:hAnsi="" w:eastAsia=""/>
          <w:b w:val="0"/>
          <w:i w:val="0"/>
          <w:color w:val="000000"/>
          <w:sz w:val="16"/>
        </w:rPr>
        <w:t>c</w:t>
      </w:r>
      <w:r>
        <w:rPr>
          <w:rFonts w:ascii="" w:hAnsi="" w:eastAsia=""/>
          <w:b w:val="0"/>
          <w:i w:val="0"/>
          <w:color w:val="000000"/>
          <w:sz w:val="24"/>
        </w:rPr>
        <w:t xml:space="preserve"> is almost constant whereas the wake-up behavior clearly improves for higher </w:t>
      </w:r>
      <w:r>
        <w:rPr>
          <w:rFonts w:ascii="" w:hAnsi="" w:eastAsia=""/>
          <w:b w:val="0"/>
          <w:i w:val="0"/>
          <w:color w:val="000000"/>
          <w:sz w:val="24"/>
        </w:rPr>
        <w:t xml:space="preserve">anneal temperatures. An 800 °C anneal of the 10 cat% La sample results in a polycrystalline film </w:t>
      </w:r>
      <w:r>
        <w:rPr>
          <w:rFonts w:ascii="" w:hAnsi="" w:eastAsia=""/>
          <w:b w:val="0"/>
          <w:i w:val="0"/>
          <w:color w:val="000000"/>
          <w:sz w:val="24"/>
        </w:rPr>
        <w:t xml:space="preserve">with a grain radius of 30±20 nm as determined by top-view SEM (Figure SI 3). Furthermore, the </w:t>
      </w:r>
      <w:r>
        <w:rPr>
          <w:rFonts w:ascii="" w:hAnsi="" w:eastAsia=""/>
          <w:b w:val="0"/>
          <w:i w:val="0"/>
          <w:color w:val="000000"/>
          <w:sz w:val="24"/>
        </w:rPr>
        <w:t>broadening of the hysteresis is plotted during field cycling until 10</w:t>
      </w:r>
      <w:r>
        <w:rPr>
          <w:rFonts w:ascii="" w:hAnsi="" w:eastAsia=""/>
          <w:b w:val="0"/>
          <w:i w:val="0"/>
          <w:color w:val="000000"/>
          <w:sz w:val="16"/>
        </w:rPr>
        <w:t>4</w:t>
      </w:r>
      <w:r>
        <w:rPr>
          <w:rFonts w:ascii="" w:hAnsi="" w:eastAsia=""/>
          <w:b w:val="0"/>
          <w:i w:val="0"/>
          <w:color w:val="000000"/>
          <w:sz w:val="24"/>
        </w:rPr>
        <w:t xml:space="preserve"> cycles at 4MV/cm as a </w:t>
      </w:r>
      <w:r>
        <w:rPr>
          <w:rFonts w:ascii="" w:hAnsi="" w:eastAsia=""/>
          <w:b w:val="0"/>
          <w:i w:val="0"/>
          <w:color w:val="000000"/>
          <w:sz w:val="24"/>
        </w:rPr>
        <w:t xml:space="preserve">function of the La content (Figure SI 4). </w:t>
      </w:r>
    </w:p>
    <w:p>
      <w:pPr>
        <w:sectPr>
          <w:pgSz w:w="12240" w:h="15840"/>
          <w:pgMar w:top="710" w:right="1000" w:bottom="492" w:left="1418" w:header="720" w:footer="720" w:gutter="0"/>
          <w:cols w:space="720" w:num="1" w:equalWidth="0"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8270" cy="73278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732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8270" cy="73278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732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8270" cy="730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73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auto" w:before="304" w:after="0"/>
        <w:ind w:left="0" w:right="0" w:firstLine="0"/>
        <w:jc w:val="center"/>
      </w:pPr>
      <w:r>
        <w:rPr>
          <w:rFonts w:ascii="" w:hAnsi="" w:eastAsia=""/>
          <w:b/>
          <w:i w:val="0"/>
          <w:color w:val="000000"/>
          <w:sz w:val="24"/>
        </w:rPr>
        <w:t>Figure SI 1:</w:t>
      </w:r>
      <w:r>
        <w:rPr>
          <w:rFonts w:ascii="" w:hAnsi="" w:eastAsia=""/>
          <w:b w:val="0"/>
          <w:i w:val="0"/>
          <w:color w:val="000000"/>
          <w:sz w:val="24"/>
        </w:rPr>
        <w:t xml:space="preserve"> Temperature dependent XRD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>pattern for a 10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sample during </w:t>
      </w:r>
    </w:p>
    <w:p>
      <w:pPr>
        <w:sectPr>
          <w:type w:val="continuous"/>
          <w:pgSz w:w="12240" w:h="15840"/>
          <w:pgMar w:top="710" w:right="1000" w:bottom="492" w:left="1418" w:header="720" w:footer="720" w:gutter="0"/>
          <w:cols w:space="720" w:num="2" w:equalWidth="0"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5620" cy="73532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735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5620" cy="736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5620" cy="73278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732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auto" w:before="290" w:after="0"/>
        <w:ind w:left="80" w:right="0" w:firstLine="0"/>
        <w:jc w:val="left"/>
      </w:pPr>
      <w:r>
        <w:rPr>
          <w:rFonts w:ascii="" w:hAnsi="" w:eastAsia=""/>
          <w:b/>
          <w:i w:val="0"/>
          <w:color w:val="000000"/>
          <w:sz w:val="24"/>
        </w:rPr>
        <w:t>Figure SI 2</w:t>
      </w:r>
      <w:r>
        <w:rPr>
          <w:rFonts w:ascii="" w:hAnsi="" w:eastAsia=""/>
          <w:b w:val="0"/>
          <w:i w:val="0"/>
          <w:color w:val="000000"/>
          <w:sz w:val="24"/>
        </w:rPr>
        <w:t xml:space="preserve">: Change of the wake-up slope and </w:t>
      </w:r>
    </w:p>
    <w:p>
      <w:pPr>
        <w:autoSpaceDN w:val="0"/>
        <w:autoSpaceDE w:val="0"/>
        <w:widowControl/>
        <w:spacing w:line="218" w:lineRule="auto" w:before="286" w:after="286"/>
        <w:ind w:left="8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coercive field as a function of anneal </w:t>
      </w:r>
    </w:p>
    <w:p>
      <w:pPr>
        <w:sectPr>
          <w:type w:val="nextColumn"/>
          <w:pgSz w:w="12240" w:h="15840"/>
          <w:pgMar w:top="710" w:right="1000" w:bottom="492" w:left="1418" w:header="720" w:footer="720" w:gutter="0"/>
          <w:cols w:space="720" w:num="2" w:equalWidth="0"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tabs>
          <w:tab w:pos="4794" w:val="left"/>
        </w:tabs>
        <w:autoSpaceDE w:val="0"/>
        <w:widowControl/>
        <w:spacing w:line="218" w:lineRule="auto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annealing from 25 to 900 °C with reference </w:t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 xml:space="preserve">temperature. </w:t>
      </w:r>
    </w:p>
    <w:p>
      <w:pPr>
        <w:autoSpaceDN w:val="0"/>
        <w:tabs>
          <w:tab w:pos="646" w:val="left"/>
          <w:tab w:pos="1518" w:val="left"/>
          <w:tab w:pos="2698" w:val="left"/>
          <w:tab w:pos="4002" w:val="left"/>
        </w:tabs>
        <w:autoSpaceDE w:val="0"/>
        <w:widowControl/>
        <w:spacing w:line="230" w:lineRule="auto" w:before="286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tick </w:t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 xml:space="preserve">marks </w:t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>(</w:t>
      </w:r>
      <w:r>
        <w:rPr>
          <w:rFonts w:ascii="" w:hAnsi="" w:eastAsia=""/>
          <w:b w:val="0"/>
          <w:i/>
          <w:color w:val="000000"/>
          <w:sz w:val="24"/>
        </w:rPr>
        <w:t>P</w:t>
      </w:r>
      <w:r>
        <w:rPr>
          <w:rFonts w:ascii="" w:hAnsi="" w:eastAsia=""/>
          <w:b w:val="0"/>
          <w:i w:val="0"/>
          <w:color w:val="000000"/>
          <w:sz w:val="24"/>
        </w:rPr>
        <w:t>4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>/</w:t>
      </w:r>
      <w:r>
        <w:rPr>
          <w:rFonts w:ascii="" w:hAnsi="" w:eastAsia=""/>
          <w:b w:val="0"/>
          <w:i/>
          <w:color w:val="000000"/>
          <w:sz w:val="24"/>
        </w:rPr>
        <w:t xml:space="preserve">nmc </w:t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 xml:space="preserve">tetragonal, </w:t>
      </w:r>
      <w:r>
        <w:tab/>
      </w:r>
      <w:r>
        <w:rPr>
          <w:rFonts w:ascii="" w:hAnsi="" w:eastAsia=""/>
          <w:b w:val="0"/>
          <w:i/>
          <w:color w:val="000000"/>
          <w:sz w:val="24"/>
        </w:rPr>
        <w:t>Pca</w:t>
      </w:r>
      <w:r>
        <w:rPr>
          <w:rFonts w:ascii="" w:hAnsi="" w:eastAsia=""/>
          <w:b w:val="0"/>
          <w:i w:val="0"/>
          <w:color w:val="000000"/>
          <w:sz w:val="24"/>
        </w:rPr>
        <w:t>2</w:t>
      </w:r>
      <w:r>
        <w:rPr>
          <w:rFonts w:ascii="" w:hAnsi="" w:eastAsia="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230" w:lineRule="auto" w:before="272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orthorhombic, </w:t>
      </w:r>
      <w:r>
        <w:rPr>
          <w:rFonts w:ascii="" w:hAnsi="" w:eastAsia=""/>
          <w:b w:val="0"/>
          <w:i/>
          <w:color w:val="000000"/>
          <w:sz w:val="24"/>
        </w:rPr>
        <w:t>P</w:t>
      </w:r>
      <w:r>
        <w:rPr>
          <w:rFonts w:ascii="" w:hAnsi="" w:eastAsia=""/>
          <w:b w:val="0"/>
          <w:i w:val="0"/>
          <w:color w:val="000000"/>
          <w:sz w:val="24"/>
        </w:rPr>
        <w:t>2</w:t>
      </w:r>
      <w:r>
        <w:rPr>
          <w:rFonts w:ascii="" w:hAnsi="" w:eastAsia=""/>
          <w:b w:val="0"/>
          <w:i w:val="0"/>
          <w:color w:val="000000"/>
          <w:sz w:val="16"/>
        </w:rPr>
        <w:t>1</w:t>
      </w:r>
      <w:r>
        <w:rPr>
          <w:rFonts w:ascii="" w:hAnsi="" w:eastAsia=""/>
          <w:b w:val="0"/>
          <w:i w:val="0"/>
          <w:color w:val="000000"/>
          <w:sz w:val="24"/>
        </w:rPr>
        <w:t>/</w:t>
      </w:r>
      <w:r>
        <w:rPr>
          <w:rFonts w:ascii="" w:hAnsi="" w:eastAsia=""/>
          <w:b w:val="0"/>
          <w:i/>
          <w:color w:val="000000"/>
          <w:sz w:val="24"/>
        </w:rPr>
        <w:t>c</w:t>
      </w:r>
      <w:r>
        <w:rPr>
          <w:rFonts w:ascii="" w:hAnsi="" w:eastAsia=""/>
          <w:b w:val="0"/>
          <w:i w:val="0"/>
          <w:color w:val="000000"/>
          <w:sz w:val="24"/>
        </w:rPr>
        <w:t xml:space="preserve"> monoclinic phases of </w:t>
      </w:r>
    </w:p>
    <w:p>
      <w:pPr>
        <w:autoSpaceDN w:val="0"/>
        <w:autoSpaceDE w:val="0"/>
        <w:widowControl/>
        <w:spacing w:line="230" w:lineRule="auto" w:before="272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>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and </w:t>
      </w:r>
      <w:r>
        <w:rPr>
          <w:rFonts w:ascii="" w:hAnsi="" w:eastAsia=""/>
          <w:b w:val="0"/>
          <w:i/>
          <w:color w:val="000000"/>
          <w:sz w:val="24"/>
        </w:rPr>
        <w:t>P</w:t>
      </w:r>
      <w:r>
        <w:rPr>
          <w:rFonts w:ascii="" w:hAnsi="" w:eastAsia=""/>
          <w:b w:val="0"/>
          <w:i w:val="0"/>
          <w:color w:val="000000"/>
          <w:sz w:val="24"/>
        </w:rPr>
        <w:t>42/</w:t>
      </w:r>
      <w:r>
        <w:rPr>
          <w:rFonts w:ascii="" w:hAnsi="" w:eastAsia=""/>
          <w:b w:val="0"/>
          <w:i/>
          <w:color w:val="000000"/>
          <w:sz w:val="24"/>
        </w:rPr>
        <w:t>mmm</w:t>
      </w:r>
      <w:r>
        <w:rPr>
          <w:rFonts w:ascii="" w:hAnsi="" w:eastAsia=""/>
          <w:b w:val="0"/>
          <w:i w:val="0"/>
          <w:color w:val="000000"/>
          <w:sz w:val="24"/>
        </w:rPr>
        <w:t xml:space="preserve"> rutile phase of TiO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3110" w:after="0"/>
        <w:ind w:left="0" w:right="366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S2 </w:t>
      </w:r>
    </w:p>
    <w:p>
      <w:pPr>
        <w:sectPr>
          <w:type w:val="continuous"/>
          <w:pgSz w:w="12240" w:h="15840"/>
          <w:pgMar w:top="710" w:right="1000" w:bottom="492" w:left="1418" w:header="720" w:footer="720" w:gutter="0"/>
          <w:cols w:space="720" w:num="1" w:equalWidth="0"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sectPr>
          <w:pgSz w:w="12240" w:h="15840"/>
          <w:pgMar w:top="708" w:right="1336" w:bottom="492" w:left="1418" w:header="720" w:footer="720" w:gutter="0"/>
          <w:cols w:space="720" w:num="1" w:equalWidth="0"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44749" cy="78104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4749" cy="7810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44749" cy="7823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4749" cy="782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44749" cy="77850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4749" cy="778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3" w:lineRule="auto" w:before="286" w:after="0"/>
        <w:ind w:left="0" w:right="80" w:firstLine="0"/>
        <w:jc w:val="both"/>
      </w:pPr>
      <w:r>
        <w:rPr>
          <w:rFonts w:ascii="" w:hAnsi="" w:eastAsia=""/>
          <w:b/>
          <w:i w:val="0"/>
          <w:color w:val="000000"/>
          <w:sz w:val="24"/>
        </w:rPr>
        <w:t>Figure SI 3:</w:t>
      </w:r>
      <w:r>
        <w:rPr>
          <w:rFonts w:ascii="" w:hAnsi="" w:eastAsia=""/>
          <w:b w:val="0"/>
          <w:i w:val="0"/>
          <w:color w:val="000000"/>
          <w:sz w:val="24"/>
        </w:rPr>
        <w:t xml:space="preserve"> Top down SEM image and grain </w:t>
      </w:r>
      <w:r>
        <w:rPr>
          <w:rFonts w:ascii="" w:hAnsi="" w:eastAsia=""/>
          <w:b w:val="0"/>
          <w:i w:val="0"/>
          <w:color w:val="000000"/>
          <w:sz w:val="24"/>
        </w:rPr>
        <w:t xml:space="preserve">size determination by Gwydion software </w:t>
      </w:r>
      <w:r>
        <w:rPr>
          <w:rFonts w:ascii="" w:hAnsi="" w:eastAsia=""/>
          <w:b w:val="0"/>
          <w:i w:val="0"/>
          <w:color w:val="000000"/>
          <w:sz w:val="24"/>
        </w:rPr>
        <w:t xml:space="preserve">(watershed method) of a 10 cat% La sample </w:t>
      </w:r>
      <w:r>
        <w:rPr>
          <w:rFonts w:ascii="" w:hAnsi="" w:eastAsia=""/>
          <w:b w:val="0"/>
          <w:i w:val="0"/>
          <w:color w:val="000000"/>
          <w:sz w:val="24"/>
        </w:rPr>
        <w:t xml:space="preserve">after anneal at 800°C. The resulting number of </w:t>
      </w:r>
      <w:r>
        <w:rPr>
          <w:rFonts w:ascii="" w:hAnsi="" w:eastAsia=""/>
          <w:b w:val="0"/>
          <w:i w:val="0"/>
          <w:color w:val="000000"/>
          <w:sz w:val="24"/>
        </w:rPr>
        <w:t xml:space="preserve">grains as a function of radius is normalized to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 maximum value. </w:t>
      </w:r>
    </w:p>
    <w:p>
      <w:pPr>
        <w:sectPr>
          <w:type w:val="continuous"/>
          <w:pgSz w:w="12240" w:h="15840"/>
          <w:pgMar w:top="708" w:right="1336" w:bottom="492" w:left="1418" w:header="720" w:footer="720" w:gutter="0"/>
          <w:cols w:space="720" w:num="2" w:equalWidth="0"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53360" cy="7645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764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53360" cy="76580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765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53360" cy="7632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76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auto" w:before="362" w:after="698"/>
        <w:ind w:left="78" w:right="0" w:firstLine="0"/>
        <w:jc w:val="left"/>
      </w:pPr>
      <w:r>
        <w:rPr>
          <w:rFonts w:ascii="" w:hAnsi="" w:eastAsia=""/>
          <w:b/>
          <w:i w:val="0"/>
          <w:color w:val="000000"/>
          <w:sz w:val="24"/>
        </w:rPr>
        <w:t>Figure SI 4:</w:t>
      </w:r>
      <w:r>
        <w:rPr>
          <w:rFonts w:ascii="" w:hAnsi="" w:eastAsia=""/>
          <w:b w:val="0"/>
          <w:i w:val="0"/>
          <w:color w:val="000000"/>
          <w:sz w:val="24"/>
        </w:rPr>
        <w:t xml:space="preserve"> Broadening of the hysteresis </w:t>
      </w:r>
      <w:r>
        <w:rPr>
          <w:rFonts w:ascii="" w:hAnsi="" w:eastAsia=""/>
          <w:b w:val="0"/>
          <w:i w:val="0"/>
          <w:color w:val="000000"/>
          <w:sz w:val="24"/>
        </w:rPr>
        <w:t>curve for different La content caused by ‘de-</w:t>
      </w:r>
      <w:r>
        <w:rPr>
          <w:rFonts w:ascii="" w:hAnsi="" w:eastAsia=""/>
          <w:b w:val="0"/>
          <w:i w:val="0"/>
          <w:color w:val="000000"/>
          <w:sz w:val="24"/>
        </w:rPr>
        <w:t xml:space="preserve">pinching’. The change is determined as the </w:t>
      </w:r>
      <w:r>
        <w:rPr>
          <w:rFonts w:ascii="" w:hAnsi="" w:eastAsia=""/>
          <w:b w:val="0"/>
          <w:i w:val="0"/>
          <w:color w:val="000000"/>
          <w:sz w:val="24"/>
        </w:rPr>
        <w:t xml:space="preserve">difference between the positive (filled) and </w:t>
      </w:r>
      <w:r>
        <w:rPr>
          <w:rFonts w:ascii="" w:hAnsi="" w:eastAsia=""/>
          <w:b w:val="0"/>
          <w:i w:val="0"/>
          <w:color w:val="000000"/>
          <w:sz w:val="24"/>
        </w:rPr>
        <w:t xml:space="preserve">negative x-axis intersection values (open </w:t>
      </w:r>
      <w:r>
        <w:rPr>
          <w:rFonts w:ascii="" w:hAnsi="" w:eastAsia=""/>
          <w:b w:val="0"/>
          <w:i w:val="0"/>
          <w:color w:val="000000"/>
          <w:sz w:val="24"/>
        </w:rPr>
        <w:t>symbols) of the hysteresis after 10</w:t>
      </w:r>
      <w:r>
        <w:rPr>
          <w:rFonts w:ascii="" w:hAnsi="" w:eastAsia=""/>
          <w:b w:val="0"/>
          <w:i w:val="0"/>
          <w:color w:val="000000"/>
          <w:sz w:val="16"/>
        </w:rPr>
        <w:t>4</w:t>
      </w:r>
      <w:r>
        <w:rPr>
          <w:rFonts w:ascii="" w:hAnsi="" w:eastAsia=""/>
          <w:b w:val="0"/>
          <w:i w:val="0"/>
          <w:color w:val="000000"/>
          <w:sz w:val="24"/>
        </w:rPr>
        <w:t xml:space="preserve"> cycles vs.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 pristine case. </w:t>
      </w:r>
    </w:p>
    <w:p>
      <w:pPr>
        <w:sectPr>
          <w:type w:val="nextColumn"/>
          <w:pgSz w:w="12240" w:h="15840"/>
          <w:pgMar w:top="708" w:right="1336" w:bottom="492" w:left="1418" w:header="720" w:footer="720" w:gutter="0"/>
          <w:cols w:space="720" w:num="2" w:equalWidth="0"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tabs>
          <w:tab w:pos="5760" w:val="left"/>
        </w:tabs>
        <w:autoSpaceDE w:val="0"/>
        <w:widowControl/>
        <w:spacing w:line="218" w:lineRule="auto" w:before="0" w:after="280"/>
        <w:ind w:left="202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a) </w:t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 xml:space="preserve">b) </w:t>
      </w:r>
    </w:p>
    <w:p>
      <w:pPr>
        <w:sectPr>
          <w:type w:val="continuous"/>
          <w:pgSz w:w="12240" w:h="15840"/>
          <w:pgMar w:top="708" w:right="1336" w:bottom="492" w:left="1418" w:header="720" w:footer="720" w:gutter="0"/>
          <w:cols w:space="720" w:num="1" w:equalWidth="0"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40839" cy="9258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0839" cy="925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40839" cy="927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0839" cy="92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708" w:right="1336" w:bottom="492" w:left="1418" w:header="720" w:footer="720" w:gutter="0"/>
          <w:cols w:space="720" w:num="2" w:equalWidth="0"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1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82420" cy="91312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2420" cy="913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1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82420" cy="9118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2420" cy="911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22"/>
        <w:sectPr>
          <w:type w:val="nextColumn"/>
          <w:pgSz w:w="12240" w:h="15840"/>
          <w:pgMar w:top="708" w:right="1336" w:bottom="492" w:left="1418" w:header="720" w:footer="720" w:gutter="0"/>
          <w:cols w:space="720" w:num="2" w:equalWidth="0"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336" w:lineRule="auto" w:before="0" w:after="0"/>
        <w:ind w:left="0" w:right="0" w:firstLine="0"/>
        <w:jc w:val="left"/>
      </w:pPr>
      <w:r>
        <w:rPr>
          <w:rFonts w:ascii="" w:hAnsi="" w:eastAsia=""/>
          <w:b/>
          <w:i w:val="0"/>
          <w:color w:val="000000"/>
          <w:sz w:val="24"/>
        </w:rPr>
        <w:t>Figure SI 5:</w:t>
      </w:r>
      <w:r>
        <w:rPr>
          <w:rFonts w:ascii="" w:hAnsi="" w:eastAsia=""/>
          <w:b w:val="0"/>
          <w:i w:val="0"/>
          <w:color w:val="000000"/>
          <w:sz w:val="24"/>
        </w:rPr>
        <w:t xml:space="preserve"> a) TOF-SIMS after 800°C 20s anneal  b) TOF-SIMS after slow 0.2K/s ramp during </w:t>
      </w:r>
      <w:r>
        <w:rPr>
          <w:rFonts w:ascii="" w:hAnsi="" w:eastAsia=""/>
          <w:b w:val="0"/>
          <w:i w:val="0"/>
          <w:color w:val="000000"/>
          <w:sz w:val="24"/>
        </w:rPr>
        <w:t xml:space="preserve">temperature dependent GIXRD measurement in Figure SI 1. </w:t>
      </w:r>
    </w:p>
    <w:p>
      <w:pPr>
        <w:autoSpaceDN w:val="0"/>
        <w:autoSpaceDE w:val="0"/>
        <w:widowControl/>
        <w:spacing w:line="197" w:lineRule="auto" w:before="414" w:after="0"/>
        <w:ind w:left="0" w:right="30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S3 </w:t>
      </w:r>
    </w:p>
    <w:p>
      <w:pPr>
        <w:sectPr>
          <w:type w:val="continuous"/>
          <w:pgSz w:w="12240" w:h="15840"/>
          <w:pgMar w:top="708" w:right="1336" w:bottom="492" w:left="1418" w:header="720" w:footer="720" w:gutter="0"/>
          <w:cols w:space="720" w:num="1" w:equalWidth="0"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897890</wp:posOffset>
            </wp:positionH>
            <wp:positionV relativeFrom="page">
              <wp:posOffset>3001010</wp:posOffset>
            </wp:positionV>
            <wp:extent cx="1907539" cy="956938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7539" cy="9569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2947670</wp:posOffset>
            </wp:positionH>
            <wp:positionV relativeFrom="page">
              <wp:posOffset>3001010</wp:posOffset>
            </wp:positionV>
            <wp:extent cx="1954530" cy="953507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953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2947670</wp:posOffset>
            </wp:positionH>
            <wp:positionV relativeFrom="page">
              <wp:posOffset>3954779</wp:posOffset>
            </wp:positionV>
            <wp:extent cx="1954530" cy="956674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95667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08" w:lineRule="auto" w:before="0" w:after="206"/>
        <w:ind w:left="4" w:right="432" w:firstLine="202"/>
        <w:jc w:val="both"/>
      </w:pPr>
      <w:r>
        <w:rPr>
          <w:rFonts w:ascii="" w:hAnsi="" w:eastAsia=""/>
          <w:b w:val="0"/>
          <w:i w:val="0"/>
          <w:color w:val="000000"/>
          <w:sz w:val="24"/>
        </w:rPr>
        <w:t>An orientation relationship between TiN substrate and a 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grain was detected in a TEM </w:t>
      </w:r>
      <w:r>
        <w:rPr>
          <w:rFonts w:ascii="" w:hAnsi="" w:eastAsia=""/>
          <w:b w:val="0"/>
          <w:i w:val="0"/>
          <w:color w:val="000000"/>
          <w:sz w:val="24"/>
        </w:rPr>
        <w:t>image of a 10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capacitor structure (Figure SI 6a) and example of </w:t>
      </w:r>
      <w:r>
        <w:rPr>
          <w:rFonts w:ascii="" w:hAnsi="" w:eastAsia=""/>
          <w:b w:val="0"/>
          <w:i w:val="0"/>
          <w:color w:val="000000"/>
          <w:sz w:val="24"/>
        </w:rPr>
        <w:t>monoclinic/orthorhombic phase portion (Figure SI 6b). In addition to 10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capacitor </w:t>
      </w:r>
      <w:r>
        <w:rPr>
          <w:rFonts w:ascii="" w:hAnsi="" w:eastAsia=""/>
          <w:b w:val="0"/>
          <w:i w:val="0"/>
          <w:color w:val="000000"/>
          <w:sz w:val="24"/>
        </w:rPr>
        <w:t>structures as shown in the main manuscript, 16 cat%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samples are analyzed by TEM and </w:t>
      </w:r>
      <w:r>
        <w:rPr>
          <w:rFonts w:ascii="" w:hAnsi="" w:eastAsia=""/>
          <w:b w:val="0"/>
          <w:i w:val="0"/>
          <w:color w:val="000000"/>
          <w:sz w:val="24"/>
        </w:rPr>
        <w:t>a [001]-zone of the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sample is verified (Figure SI 7).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01"/>
        <w:gridCol w:w="3301"/>
        <w:gridCol w:w="3301"/>
      </w:tblGrid>
      <w:tr>
        <w:trPr>
          <w:trHeight w:hRule="exact" w:val="878"/>
        </w:trPr>
        <w:tc>
          <w:tcPr>
            <w:tcW w:type="dxa" w:w="3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15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 xml:space="preserve">a) </w:t>
            </w:r>
          </w:p>
        </w:tc>
        <w:tc>
          <w:tcPr>
            <w:tcW w:type="dxa" w:w="1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6" w:after="0"/>
              <w:ind w:left="20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 xml:space="preserve">b) </w:t>
            </w:r>
          </w:p>
        </w:tc>
        <w:tc>
          <w:tcPr>
            <w:tcW w:type="dxa" w:w="484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84"/>
        </w:trPr>
        <w:tc>
          <w:tcPr>
            <w:tcW w:type="dxa" w:w="3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7539" cy="95631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539" cy="956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50" w:after="0"/>
              <w:ind w:left="2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2"/>
              </w:rPr>
              <w:t xml:space="preserve">5 nm </w:t>
            </w:r>
          </w:p>
        </w:tc>
        <w:tc>
          <w:tcPr>
            <w:tcW w:type="dxa" w:w="484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88"/>
        </w:trPr>
        <w:tc>
          <w:tcPr>
            <w:tcW w:type="dxa" w:w="3301"/>
            <w:vMerge/>
            <w:tcBorders/>
          </w:tcPr>
          <w:p/>
        </w:tc>
        <w:tc>
          <w:tcPr>
            <w:tcW w:type="dxa" w:w="3301"/>
            <w:vMerge/>
            <w:tcBorders/>
          </w:tcPr>
          <w:p/>
        </w:tc>
        <w:tc>
          <w:tcPr>
            <w:tcW w:type="dxa" w:w="4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1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97379" cy="95377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79" cy="953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78"/>
        <w:ind w:left="0" w:right="0"/>
      </w:pPr>
    </w:p>
    <w:p>
      <w:pPr>
        <w:sectPr>
          <w:pgSz w:w="12240" w:h="15840"/>
          <w:pgMar w:top="986" w:right="924" w:bottom="490" w:left="1414" w:header="720" w:footer="720" w:gutter="0"/>
          <w:cols w:space="720" w:num="1" w:equalWidth="0"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396" w:lineRule="auto" w:before="0" w:after="0"/>
        <w:ind w:left="4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>Figure SI 6: STEM cross section image of a 10 cat% La:HfO</w:t>
      </w:r>
      <w:r>
        <w:rPr>
          <w:rFonts w:ascii="" w:hAnsi="" w:eastAsia=""/>
          <w:b w:val="0"/>
          <w:i w:val="0"/>
          <w:color w:val="000000"/>
          <w:sz w:val="16"/>
        </w:rPr>
        <w:t xml:space="preserve">2 </w:t>
      </w:r>
      <w:r>
        <w:rPr>
          <w:rFonts w:ascii="" w:hAnsi="" w:eastAsia=""/>
          <w:b w:val="0"/>
          <w:i w:val="0"/>
          <w:color w:val="000000"/>
          <w:sz w:val="24"/>
        </w:rPr>
        <w:t xml:space="preserve">capacitor structure: a) Orientation relationship between TiN </w:t>
      </w:r>
      <w:r>
        <w:rPr>
          <w:rFonts w:ascii="" w:hAnsi="" w:eastAsia=""/>
          <w:b w:val="0"/>
          <w:i w:val="0"/>
          <w:color w:val="000000"/>
          <w:sz w:val="24"/>
        </w:rPr>
        <w:t>substrate (contrast enhanced) and 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grain. b) monoclinic [011] </w:t>
      </w:r>
      <w:r>
        <w:rPr>
          <w:rFonts w:ascii="" w:hAnsi="" w:eastAsia=""/>
          <w:b w:val="0"/>
          <w:i w:val="0"/>
          <w:color w:val="000000"/>
          <w:sz w:val="24"/>
        </w:rPr>
        <w:t>or orthorhombic [101]-zone of the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region. </w:t>
      </w:r>
    </w:p>
    <w:p>
      <w:pPr>
        <w:sectPr>
          <w:type w:val="continuous"/>
          <w:pgSz w:w="12240" w:h="15840"/>
          <w:pgMar w:top="986" w:right="924" w:bottom="490" w:left="1414" w:header="720" w:footer="720" w:gutter="0"/>
          <w:cols w:space="720" w:num="2" w:equalWidth="0"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413" w:lineRule="auto" w:before="0" w:after="838"/>
        <w:ind w:left="78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Figure SI 7: STEM cross section </w:t>
      </w:r>
      <w:r>
        <w:rPr>
          <w:rFonts w:ascii="" w:hAnsi="" w:eastAsia=""/>
          <w:b w:val="0"/>
          <w:i w:val="0"/>
          <w:color w:val="000000"/>
          <w:sz w:val="24"/>
        </w:rPr>
        <w:t>image of a 16 cat% La:HfO</w:t>
      </w:r>
      <w:r>
        <w:rPr>
          <w:rFonts w:ascii="" w:hAnsi="" w:eastAsia=""/>
          <w:b w:val="0"/>
          <w:i w:val="0"/>
          <w:color w:val="000000"/>
          <w:sz w:val="16"/>
        </w:rPr>
        <w:t xml:space="preserve">2 </w:t>
      </w:r>
      <w:r>
        <w:rPr>
          <w:rFonts w:ascii="" w:hAnsi="" w:eastAsia=""/>
          <w:b w:val="0"/>
          <w:i w:val="0"/>
          <w:color w:val="000000"/>
          <w:sz w:val="24"/>
        </w:rPr>
        <w:t>capacitor structure with [001]-</w:t>
      </w:r>
      <w:r>
        <w:rPr>
          <w:rFonts w:ascii="" w:hAnsi="" w:eastAsia=""/>
          <w:b w:val="0"/>
          <w:i w:val="0"/>
          <w:color w:val="000000"/>
          <w:sz w:val="24"/>
        </w:rPr>
        <w:t>zone of the 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region. The </w:t>
      </w:r>
      <w:r>
        <w:rPr>
          <w:rFonts w:ascii="" w:hAnsi="" w:eastAsia=""/>
          <w:b w:val="0"/>
          <w:i w:val="0"/>
          <w:color w:val="000000"/>
          <w:sz w:val="24"/>
        </w:rPr>
        <w:t xml:space="preserve">phase could be orthorhombic or </w:t>
      </w:r>
      <w:r>
        <w:rPr>
          <w:rFonts w:ascii="" w:hAnsi="" w:eastAsia=""/>
          <w:b w:val="0"/>
          <w:i w:val="0"/>
          <w:color w:val="000000"/>
          <w:sz w:val="24"/>
        </w:rPr>
        <w:t xml:space="preserve">monocline. </w:t>
      </w:r>
    </w:p>
    <w:p>
      <w:pPr>
        <w:sectPr>
          <w:type w:val="nextColumn"/>
          <w:pgSz w:w="12240" w:h="15840"/>
          <w:pgMar w:top="986" w:right="924" w:bottom="490" w:left="1414" w:header="720" w:footer="720" w:gutter="0"/>
          <w:cols w:space="720" w:num="2" w:equalWidth="0"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413" w:lineRule="auto" w:before="0" w:after="0"/>
        <w:ind w:left="0" w:right="432" w:firstLine="0"/>
        <w:jc w:val="right"/>
      </w:pPr>
      <w:r>
        <w:rPr>
          <w:rFonts w:ascii="" w:hAnsi="" w:eastAsia=""/>
          <w:b w:val="0"/>
          <w:i w:val="0"/>
          <w:color w:val="000000"/>
          <w:sz w:val="24"/>
        </w:rPr>
        <w:t>As already mention in the main manuscript, for characterization of the defects in the 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 layer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 thermally stimulated depolarization current technique (TSDC) is applied. Initially, the sample </w:t>
      </w:r>
      <w:r>
        <w:rPr>
          <w:rFonts w:ascii="" w:hAnsi="" w:eastAsia=""/>
          <w:b w:val="0"/>
          <w:i w:val="0"/>
          <w:color w:val="000000"/>
          <w:sz w:val="24"/>
        </w:rPr>
        <w:t xml:space="preserve">is polarized at 380°C with an applied electric field and rapidly cooled down while the same </w:t>
      </w:r>
      <w:r>
        <w:rPr>
          <w:rFonts w:ascii="" w:hAnsi="" w:eastAsia=""/>
          <w:b w:val="0"/>
          <w:i w:val="0"/>
          <w:color w:val="000000"/>
          <w:sz w:val="24"/>
        </w:rPr>
        <w:t xml:space="preserve">electric field is still utilized to freeze possible diffused charges in their local and energetic </w:t>
      </w:r>
      <w:r>
        <w:rPr>
          <w:rFonts w:ascii="" w:hAnsi="" w:eastAsia=""/>
          <w:b w:val="0"/>
          <w:i w:val="0"/>
          <w:color w:val="000000"/>
          <w:sz w:val="24"/>
        </w:rPr>
        <w:t xml:space="preserve">positions. During slow heating with 0.2 K/s the depolarization current is determined suggesting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S4 </w:t>
      </w:r>
    </w:p>
    <w:p>
      <w:pPr>
        <w:sectPr>
          <w:type w:val="continuous"/>
          <w:pgSz w:w="12240" w:h="15840"/>
          <w:pgMar w:top="986" w:right="924" w:bottom="490" w:left="1414" w:header="720" w:footer="720" w:gutter="0"/>
          <w:cols w:space="720" w:num="1" w:equalWidth="0"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805180</wp:posOffset>
            </wp:positionH>
            <wp:positionV relativeFrom="page">
              <wp:posOffset>7131050</wp:posOffset>
            </wp:positionV>
            <wp:extent cx="6121400" cy="679097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79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808990</wp:posOffset>
            </wp:positionH>
            <wp:positionV relativeFrom="page">
              <wp:posOffset>5104130</wp:posOffset>
            </wp:positionV>
            <wp:extent cx="6117590" cy="679027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790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34" w:lineRule="auto" w:before="0" w:after="0"/>
        <w:ind w:left="2" w:right="44" w:firstLine="0"/>
        <w:jc w:val="both"/>
      </w:pPr>
      <w:r>
        <w:rPr>
          <w:rFonts w:ascii="" w:hAnsi="" w:eastAsia=""/>
          <w:b w:val="0"/>
          <w:i w:val="0"/>
          <w:color w:val="000000"/>
          <w:sz w:val="24"/>
        </w:rPr>
        <w:t xml:space="preserve">two current maxima at about 290 °C and 320°C. For peak separation the thermal cleaning method </w:t>
      </w:r>
      <w:r>
        <w:rPr>
          <w:rFonts w:ascii="" w:hAnsi="" w:eastAsia=""/>
          <w:b w:val="0"/>
          <w:i w:val="0"/>
          <w:color w:val="000000"/>
          <w:sz w:val="24"/>
        </w:rPr>
        <w:t xml:space="preserve">was applied. The relaxation current peak at 350 °C was solely measured by poling the sample at </w:t>
      </w:r>
      <w:r>
        <w:rPr>
          <w:rFonts w:ascii="" w:hAnsi="" w:eastAsia=""/>
          <w:b w:val="0"/>
          <w:i w:val="0"/>
          <w:color w:val="000000"/>
          <w:sz w:val="24"/>
        </w:rPr>
        <w:t xml:space="preserve">350 °C, cooling it down to 250 °C while applying the same poling voltage and holding the </w:t>
      </w:r>
      <w:r>
        <w:rPr>
          <w:rFonts w:ascii="" w:hAnsi="" w:eastAsia=""/>
          <w:b w:val="0"/>
          <w:i w:val="0"/>
          <w:color w:val="000000"/>
          <w:sz w:val="24"/>
        </w:rPr>
        <w:t xml:space="preserve">temperature without application of a bias voltage to allow relaxation of charges with lower </w:t>
      </w:r>
      <w:r>
        <w:rPr>
          <w:rFonts w:ascii="" w:hAnsi="" w:eastAsia=""/>
          <w:b w:val="0"/>
          <w:i w:val="0"/>
          <w:color w:val="000000"/>
          <w:sz w:val="24"/>
        </w:rPr>
        <w:t xml:space="preserve">activation energy for 800 s (Figure SI 8a). The current peak at 275 °C was separated by poling at </w:t>
      </w:r>
      <w:r>
        <w:rPr>
          <w:rFonts w:ascii="" w:hAnsi="" w:eastAsia=""/>
          <w:b w:val="0"/>
          <w:i w:val="0"/>
          <w:color w:val="000000"/>
          <w:sz w:val="24"/>
        </w:rPr>
        <w:t xml:space="preserve">only 200°C, which does not allow charges with higher activation energy to move (Figure SI 8b).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 activation energies were determined by using the initial rinse method as 0.45 – 0.51 eV </w:t>
      </w:r>
      <w:r>
        <w:rPr>
          <w:rFonts w:ascii="" w:hAnsi="" w:eastAsia=""/>
          <w:b w:val="0"/>
          <w:i w:val="0"/>
          <w:color w:val="000000"/>
          <w:sz w:val="24"/>
        </w:rPr>
        <w:t xml:space="preserve">(Figure SI 8c) and 1.23 – 1.46 eV (Figure SI 8d) depending on the applied poling voltage. This </w:t>
      </w:r>
      <w:r>
        <w:rPr>
          <w:rFonts w:ascii="" w:hAnsi="" w:eastAsia=""/>
          <w:b w:val="0"/>
          <w:i w:val="0"/>
          <w:color w:val="000000"/>
          <w:sz w:val="24"/>
        </w:rPr>
        <w:t xml:space="preserve">function was fitted to the measurement data for extraction of the amount of mobile charge </w:t>
      </w:r>
      <w:r>
        <w:rPr>
          <w:rFonts w:ascii="" w:hAnsi="" w:eastAsia=""/>
          <w:b w:val="0"/>
          <w:i w:val="0"/>
          <w:color w:val="000000"/>
          <w:sz w:val="24"/>
        </w:rPr>
        <w:t xml:space="preserve">carriers per volume for both peaks (Figure SI 7e and f). Values of 0.35% singly and 0.05% </w:t>
      </w:r>
      <w:r>
        <w:rPr>
          <w:rFonts w:ascii="" w:hAnsi="" w:eastAsia=""/>
          <w:b w:val="0"/>
          <w:i w:val="0"/>
          <w:color w:val="000000"/>
          <w:sz w:val="24"/>
        </w:rPr>
        <w:t xml:space="preserve">doubly charges oxygen vacancies are about a factor of 2 higher compared to reported values for </w:t>
      </w:r>
      <w:r>
        <w:rPr>
          <w:rFonts w:ascii="" w:hAnsi="" w:eastAsia=""/>
          <w:b w:val="0"/>
          <w:i w:val="0"/>
          <w:color w:val="000000"/>
          <w:sz w:val="24"/>
        </w:rPr>
        <w:t>Hf</w:t>
      </w:r>
      <w:r>
        <w:rPr>
          <w:rFonts w:ascii="" w:hAnsi="" w:eastAsia=""/>
          <w:b w:val="0"/>
          <w:i w:val="0"/>
          <w:color w:val="000000"/>
          <w:sz w:val="16"/>
        </w:rPr>
        <w:t>0.5</w:t>
      </w:r>
      <w:r>
        <w:rPr>
          <w:rFonts w:ascii="" w:hAnsi="" w:eastAsia=""/>
          <w:b w:val="0"/>
          <w:i w:val="0"/>
          <w:color w:val="000000"/>
          <w:sz w:val="24"/>
        </w:rPr>
        <w:t>Zr</w:t>
      </w:r>
      <w:r>
        <w:rPr>
          <w:rFonts w:ascii="" w:hAnsi="" w:eastAsia=""/>
          <w:b w:val="0"/>
          <w:i w:val="0"/>
          <w:color w:val="000000"/>
          <w:sz w:val="16"/>
        </w:rPr>
        <w:t>0.5</w:t>
      </w:r>
      <w:r>
        <w:rPr>
          <w:rFonts w:ascii="" w:hAnsi="" w:eastAsia=""/>
          <w:b w:val="0"/>
          <w:i w:val="0"/>
          <w:color w:val="000000"/>
          <w:sz w:val="24"/>
        </w:rPr>
        <w:t>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4804" w:val="left"/>
        </w:tabs>
        <w:autoSpaceDE w:val="0"/>
        <w:widowControl/>
        <w:spacing w:line="199" w:lineRule="auto" w:before="400" w:after="644"/>
        <w:ind w:left="8" w:right="0" w:firstLine="0"/>
        <w:jc w:val="left"/>
      </w:pPr>
      <w:r>
        <w:rPr>
          <w:rFonts w:ascii="" w:hAnsi="" w:eastAsia=""/>
          <w:b w:val="0"/>
          <w:i w:val="0"/>
          <w:color w:val="000000"/>
          <w:sz w:val="28"/>
        </w:rPr>
        <w:t xml:space="preserve">a) </w:t>
      </w:r>
      <w:r>
        <w:tab/>
      </w:r>
      <w:r>
        <w:rPr>
          <w:rFonts w:ascii="" w:hAnsi="" w:eastAsia=""/>
          <w:b w:val="0"/>
          <w:i w:val="0"/>
          <w:color w:val="000000"/>
          <w:sz w:val="28"/>
        </w:rPr>
        <w:t xml:space="preserve">b) </w:t>
      </w:r>
    </w:p>
    <w:p>
      <w:pPr>
        <w:sectPr>
          <w:pgSz w:w="12240" w:h="15840"/>
          <w:pgMar w:top="710" w:right="1312" w:bottom="492" w:left="1416" w:header="720" w:footer="720" w:gutter="0"/>
          <w:cols w:space="720" w:num="1" w:equalWidth="0"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1630" cy="13487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134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710" w:right="1312" w:bottom="492" w:left="1416" w:header="720" w:footer="720" w:gutter="0"/>
          <w:cols w:space="720" w:num="2" w:equalWidth="0"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2900" cy="13487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34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0"/>
        <w:sectPr>
          <w:type w:val="nextColumn"/>
          <w:pgSz w:w="12240" w:h="15840"/>
          <w:pgMar w:top="710" w:right="1312" w:bottom="492" w:left="1416" w:header="720" w:footer="720" w:gutter="0"/>
          <w:cols w:space="720" w:num="2" w:equalWidth="0"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tabs>
          <w:tab w:pos="4814" w:val="left"/>
        </w:tabs>
        <w:autoSpaceDE w:val="0"/>
        <w:widowControl/>
        <w:spacing w:line="202" w:lineRule="auto" w:before="0" w:after="64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8"/>
        </w:rPr>
        <w:t xml:space="preserve">c) </w:t>
      </w:r>
      <w:r>
        <w:tab/>
      </w:r>
      <w:r>
        <w:rPr>
          <w:rFonts w:ascii="" w:hAnsi="" w:eastAsia=""/>
          <w:b w:val="0"/>
          <w:i w:val="0"/>
          <w:color w:val="000000"/>
          <w:sz w:val="28"/>
        </w:rPr>
        <w:t xml:space="preserve">d) </w:t>
      </w:r>
    </w:p>
    <w:p>
      <w:pPr>
        <w:sectPr>
          <w:type w:val="continuous"/>
          <w:pgSz w:w="12240" w:h="15840"/>
          <w:pgMar w:top="710" w:right="1312" w:bottom="492" w:left="1416" w:header="720" w:footer="720" w:gutter="0"/>
          <w:cols w:space="720" w:num="1" w:equalWidth="0">
            <w:col w:w="9512" w:space="0"/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1630" cy="67563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675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1630" cy="6731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710" w:right="1312" w:bottom="492" w:left="1416" w:header="720" w:footer="720" w:gutter="0"/>
          <w:cols w:space="720" w:num="2" w:equalWidth="0">
            <w:col w:w="4846" w:space="0"/>
            <w:col w:w="4665" w:space="0"/>
            <w:col w:w="9512" w:space="0"/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2900" cy="67563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75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2900" cy="6731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22" w:after="0"/>
        <w:ind w:left="0" w:right="54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S5 </w:t>
      </w:r>
    </w:p>
    <w:p>
      <w:pPr>
        <w:sectPr>
          <w:type w:val="nextColumn"/>
          <w:pgSz w:w="12240" w:h="15840"/>
          <w:pgMar w:top="710" w:right="1312" w:bottom="492" w:left="1416" w:header="720" w:footer="720" w:gutter="0"/>
          <w:cols w:space="720" w:num="2" w:equalWidth="0">
            <w:col w:w="4846" w:space="0"/>
            <w:col w:w="4665" w:space="0"/>
            <w:col w:w="9512" w:space="0"/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802640</wp:posOffset>
            </wp:positionH>
            <wp:positionV relativeFrom="page">
              <wp:posOffset>897890</wp:posOffset>
            </wp:positionV>
            <wp:extent cx="6123940" cy="1351709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135170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814" w:val="left"/>
        </w:tabs>
        <w:autoSpaceDE w:val="0"/>
        <w:widowControl/>
        <w:spacing w:line="211" w:lineRule="auto" w:before="0" w:after="1702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8"/>
        </w:rPr>
        <w:t xml:space="preserve">e) </w:t>
      </w:r>
      <w:r>
        <w:tab/>
      </w:r>
      <w:r>
        <w:rPr>
          <w:rFonts w:ascii="" w:hAnsi="" w:eastAsia=""/>
          <w:b w:val="0"/>
          <w:i w:val="0"/>
          <w:color w:val="000000"/>
          <w:sz w:val="28"/>
        </w:rPr>
        <w:t xml:space="preserve">f) </w:t>
      </w:r>
    </w:p>
    <w:p>
      <w:pPr>
        <w:sectPr>
          <w:pgSz w:w="12240" w:h="15840"/>
          <w:pgMar w:top="770" w:right="1312" w:bottom="492" w:left="1414" w:header="720" w:footer="720" w:gutter="0"/>
          <w:cols w:space="720" w:num="1" w:equalWidth="0">
            <w:col w:w="9514" w:space="0"/>
            <w:col w:w="4846" w:space="0"/>
            <w:col w:w="4665" w:space="0"/>
            <w:col w:w="9512" w:space="0"/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1630" cy="6731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770" w:right="1312" w:bottom="492" w:left="1414" w:header="720" w:footer="720" w:gutter="0"/>
          <w:cols w:space="720" w:num="2" w:equalWidth="0">
            <w:col w:w="4848" w:space="0"/>
            <w:col w:w="4665" w:space="0"/>
            <w:col w:w="9514" w:space="0"/>
            <w:col w:w="4846" w:space="0"/>
            <w:col w:w="4665" w:space="0"/>
            <w:col w:w="9512" w:space="0"/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2900" cy="6731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"/>
        <w:sectPr>
          <w:type w:val="nextColumn"/>
          <w:pgSz w:w="12240" w:h="15840"/>
          <w:pgMar w:top="770" w:right="1312" w:bottom="492" w:left="1414" w:header="720" w:footer="720" w:gutter="0"/>
          <w:cols w:space="720" w:num="2" w:equalWidth="0">
            <w:col w:w="4848" w:space="0"/>
            <w:col w:w="4665" w:space="0"/>
            <w:col w:w="9514" w:space="0"/>
            <w:col w:w="4846" w:space="0"/>
            <w:col w:w="4665" w:space="0"/>
            <w:col w:w="9512" w:space="0"/>
            <w:col w:w="4846" w:space="0"/>
            <w:col w:w="4665" w:space="0"/>
            <w:col w:w="9512" w:space="0"/>
            <w:col w:w="9902" w:space="0"/>
            <w:col w:w="6558" w:space="0"/>
            <w:col w:w="3343" w:space="0"/>
            <w:col w:w="9902" w:space="0"/>
            <w:col w:w="9486" w:space="0"/>
            <w:col w:w="3898" w:space="0"/>
            <w:col w:w="5588" w:space="0"/>
            <w:col w:w="9486" w:space="0"/>
            <w:col w:w="4709" w:space="0"/>
            <w:col w:w="4776" w:space="0"/>
            <w:col w:w="9822" w:space="0"/>
            <w:col w:w="4714" w:space="0"/>
            <w:col w:w="5108" w:space="0"/>
            <w:col w:w="9822" w:space="0"/>
            <w:col w:w="9486" w:space="0"/>
          </w:cols>
          <w:docGrid w:linePitch="360"/>
        </w:sectPr>
      </w:pPr>
    </w:p>
    <w:p>
      <w:pPr>
        <w:autoSpaceDN w:val="0"/>
        <w:autoSpaceDE w:val="0"/>
        <w:widowControl/>
        <w:spacing w:line="422" w:lineRule="auto" w:before="0" w:after="0"/>
        <w:ind w:left="4" w:right="144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>Figure SI 8: Thermally stimulated depolarization current measurement of 20 nm thick TiN-</w:t>
      </w:r>
      <w:r>
        <w:rPr>
          <w:rFonts w:ascii="" w:hAnsi="" w:eastAsia=""/>
          <w:b w:val="0"/>
          <w:i w:val="0"/>
          <w:color w:val="000000"/>
          <w:sz w:val="24"/>
        </w:rPr>
        <w:t>La:HfO</w:t>
      </w:r>
      <w:r>
        <w:rPr>
          <w:rFonts w:ascii="" w:hAnsi="" w:eastAsia=""/>
          <w:b w:val="0"/>
          <w:i w:val="0"/>
          <w:color w:val="000000"/>
          <w:sz w:val="16"/>
        </w:rPr>
        <w:t>2</w:t>
      </w:r>
      <w:r>
        <w:rPr>
          <w:rFonts w:ascii="" w:hAnsi="" w:eastAsia=""/>
          <w:b w:val="0"/>
          <w:i w:val="0"/>
          <w:color w:val="000000"/>
          <w:sz w:val="24"/>
        </w:rPr>
        <w:t xml:space="preserve">-TiN capacitors with 10 cat% La dopant concentration a) after poling with the given </w:t>
      </w:r>
      <w:r>
        <w:rPr>
          <w:rFonts w:ascii="" w:hAnsi="" w:eastAsia=""/>
          <w:b w:val="0"/>
          <w:i w:val="0"/>
          <w:color w:val="000000"/>
          <w:sz w:val="24"/>
        </w:rPr>
        <w:t xml:space="preserve">voltages (0.5 V-1.35 V) for 800 s at 320 °C and thermal cleaning at 250 °C for 800 s and b) </w:t>
      </w:r>
      <w:r>
        <w:rPr>
          <w:rFonts w:ascii="" w:hAnsi="" w:eastAsia=""/>
          <w:b w:val="0"/>
          <w:i w:val="0"/>
          <w:color w:val="000000"/>
          <w:sz w:val="24"/>
        </w:rPr>
        <w:t xml:space="preserve">after poling with the given voltages (0.5 V-1.35 V) for 800 s at 200 °C using a ramp rate of 0.2 </w:t>
      </w:r>
      <w:r>
        <w:rPr>
          <w:rFonts w:ascii="" w:hAnsi="" w:eastAsia=""/>
          <w:b w:val="0"/>
          <w:i w:val="0"/>
          <w:color w:val="000000"/>
          <w:sz w:val="24"/>
        </w:rPr>
        <w:t xml:space="preserve">K/s and Arrhenius plots with extracted activation energies using thermal rinse method for a) and </w:t>
      </w:r>
      <w:r>
        <w:rPr>
          <w:rFonts w:ascii="" w:hAnsi="" w:eastAsia=""/>
          <w:b w:val="0"/>
          <w:i w:val="0"/>
          <w:color w:val="000000"/>
          <w:sz w:val="24"/>
        </w:rPr>
        <w:t xml:space="preserve">b). Extracted charges of the depolarization current measurements e) after poling with the given </w:t>
      </w:r>
      <w:r>
        <w:rPr>
          <w:rFonts w:ascii="" w:hAnsi="" w:eastAsia=""/>
          <w:b w:val="0"/>
          <w:i w:val="0"/>
          <w:color w:val="000000"/>
          <w:sz w:val="24"/>
        </w:rPr>
        <w:t xml:space="preserve">voltages for 800 s at 320 °C and thermal cleaning at 250 °C for 800 s as shown in c) and f) after </w:t>
      </w:r>
      <w:r>
        <w:rPr>
          <w:rFonts w:ascii="" w:hAnsi="" w:eastAsia=""/>
          <w:b w:val="0"/>
          <w:i w:val="0"/>
          <w:color w:val="000000"/>
          <w:sz w:val="24"/>
        </w:rPr>
        <w:t>poling with the given voltages for 800 s at 200 °C using a ramp rate of 0.2 K/s as shown in d).</w:t>
      </w:r>
    </w:p>
    <w:p>
      <w:pPr>
        <w:autoSpaceDN w:val="0"/>
        <w:autoSpaceDE w:val="0"/>
        <w:widowControl/>
        <w:spacing w:line="197" w:lineRule="auto" w:before="5896" w:after="0"/>
        <w:ind w:left="0" w:right="54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S6 </w:t>
      </w:r>
    </w:p>
    <w:sectPr w:rsidR="00FC693F" w:rsidRPr="0006063C" w:rsidSect="00034616">
      <w:type w:val="continuous"/>
      <w:pgSz w:w="12240" w:h="15840"/>
      <w:pgMar w:top="770" w:right="1312" w:bottom="492" w:left="1414" w:header="720" w:footer="720" w:gutter="0"/>
      <w:cols w:space="720" w:num="1" w:equalWidth="0">
        <w:col w:w="9514" w:space="0"/>
        <w:col w:w="4848" w:space="0"/>
        <w:col w:w="4665" w:space="0"/>
        <w:col w:w="9514" w:space="0"/>
        <w:col w:w="4846" w:space="0"/>
        <w:col w:w="4665" w:space="0"/>
        <w:col w:w="9512" w:space="0"/>
        <w:col w:w="4846" w:space="0"/>
        <w:col w:w="4665" w:space="0"/>
        <w:col w:w="9512" w:space="0"/>
        <w:col w:w="9902" w:space="0"/>
        <w:col w:w="6558" w:space="0"/>
        <w:col w:w="3343" w:space="0"/>
        <w:col w:w="9902" w:space="0"/>
        <w:col w:w="9486" w:space="0"/>
        <w:col w:w="3898" w:space="0"/>
        <w:col w:w="5588" w:space="0"/>
        <w:col w:w="9486" w:space="0"/>
        <w:col w:w="4709" w:space="0"/>
        <w:col w:w="4776" w:space="0"/>
        <w:col w:w="9822" w:space="0"/>
        <w:col w:w="4714" w:space="0"/>
        <w:col w:w="5108" w:space="0"/>
        <w:col w:w="9822" w:space="0"/>
        <w:col w:w="948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